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144BCF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04.07.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 </w:t>
      </w:r>
      <w:r w:rsidR="006659F9" w:rsidRPr="006659F9">
        <w:rPr>
          <w:color w:val="000000"/>
          <w:sz w:val="26"/>
          <w:szCs w:val="26"/>
        </w:rPr>
        <w:t xml:space="preserve">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  № 3490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BA6C2C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BD43DB">
        <w:rPr>
          <w:color w:val="000000"/>
          <w:sz w:val="26"/>
          <w:szCs w:val="26"/>
        </w:rPr>
        <w:t>040</w:t>
      </w:r>
      <w:r w:rsidR="00A21ED6">
        <w:rPr>
          <w:color w:val="000000"/>
          <w:sz w:val="26"/>
          <w:szCs w:val="26"/>
        </w:rPr>
        <w:t>3</w:t>
      </w:r>
      <w:r w:rsidR="00BD43DB">
        <w:rPr>
          <w:color w:val="000000"/>
          <w:sz w:val="26"/>
          <w:szCs w:val="26"/>
        </w:rPr>
        <w:t>00</w:t>
      </w:r>
      <w:r w:rsidR="00A21ED6">
        <w:rPr>
          <w:color w:val="000000"/>
          <w:sz w:val="26"/>
          <w:szCs w:val="26"/>
        </w:rPr>
        <w:t>2</w:t>
      </w:r>
      <w:r w:rsidR="004A4F59">
        <w:rPr>
          <w:color w:val="000000"/>
          <w:sz w:val="26"/>
          <w:szCs w:val="26"/>
        </w:rPr>
        <w:t>:</w:t>
      </w:r>
      <w:r w:rsidR="00A21ED6">
        <w:rPr>
          <w:color w:val="000000"/>
          <w:sz w:val="26"/>
          <w:szCs w:val="26"/>
        </w:rPr>
        <w:t>200</w:t>
      </w:r>
      <w:r w:rsidR="002428C1">
        <w:rPr>
          <w:color w:val="000000"/>
          <w:sz w:val="26"/>
          <w:szCs w:val="26"/>
        </w:rPr>
        <w:t>7</w:t>
      </w:r>
      <w:r w:rsidR="00F57F93">
        <w:rPr>
          <w:color w:val="000000"/>
          <w:sz w:val="26"/>
          <w:szCs w:val="26"/>
        </w:rPr>
        <w:t xml:space="preserve"> «</w:t>
      </w:r>
      <w:r w:rsidR="00BD43DB">
        <w:rPr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BA6C2C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т</w:t>
      </w:r>
      <w:r w:rsidR="00BA6C2C">
        <w:rPr>
          <w:color w:val="000000"/>
          <w:sz w:val="26"/>
          <w:szCs w:val="26"/>
        </w:rPr>
        <w:t>ранспортной инфраструктуры (ТИ)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A91DC3" w:rsidRPr="00A91DC3">
        <w:rPr>
          <w:color w:val="000000"/>
          <w:sz w:val="26"/>
          <w:szCs w:val="26"/>
        </w:rPr>
        <w:t>Российская Федерация, Красноярский край, город Норильск, улица Энергетическая, участок № 272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  <w:bookmarkStart w:id="0" w:name="_GoBack"/>
      <w:bookmarkEnd w:id="0"/>
    </w:p>
    <w:sectPr w:rsidR="00D3799F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BCF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DE95-9B99-49F6-AE58-D00B71DB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13</cp:revision>
  <cp:lastPrinted>2018-06-26T02:58:00Z</cp:lastPrinted>
  <dcterms:created xsi:type="dcterms:W3CDTF">2018-04-27T05:17:00Z</dcterms:created>
  <dcterms:modified xsi:type="dcterms:W3CDTF">2018-07-04T07:10:00Z</dcterms:modified>
</cp:coreProperties>
</file>